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Nr postępowania: </w:t>
      </w:r>
      <w:r w:rsidDel="00000000" w:rsidR="00000000" w:rsidRPr="00000000">
        <w:rPr>
          <w:b w:val="1"/>
          <w:sz w:val="22"/>
          <w:szCs w:val="22"/>
          <w:rtl w:val="0"/>
        </w:rPr>
        <w:t xml:space="preserve">IMOL/ZP/11/2023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right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Załącznik nr 2 do SWZ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line="276" w:lineRule="auto"/>
        <w:ind w:left="2832" w:hanging="2832"/>
        <w:jc w:val="center"/>
        <w:rPr>
          <w:rFonts w:ascii="Calibri" w:cs="Calibri" w:eastAsia="Calibri" w:hAnsi="Calibri"/>
          <w:smallCaps w:val="1"/>
          <w:sz w:val="22"/>
          <w:szCs w:val="22"/>
        </w:rPr>
      </w:pPr>
      <w:r w:rsidDel="00000000" w:rsidR="00000000" w:rsidRPr="00000000">
        <w:rPr>
          <w:smallCaps w:val="1"/>
          <w:sz w:val="22"/>
          <w:szCs w:val="22"/>
          <w:rtl w:val="0"/>
        </w:rPr>
        <w:t xml:space="preserve">FORMULARZ OFERTY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My/Ja*  niżej podpisani ...............................................................................................................................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center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/imię i nazwisko/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jc w:val="center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reprezentując 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………………………………………………………………………………………………………………………………………………..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center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/pełna nazwa i adres wykonawcy/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354"/>
        </w:tabs>
        <w:spacing w:line="276" w:lineRule="auto"/>
        <w:ind w:left="-6" w:hanging="1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NIP:……………………………………………………………………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354"/>
        </w:tabs>
        <w:spacing w:line="276" w:lineRule="auto"/>
        <w:ind w:left="-6" w:hanging="1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REGON:…………………………………………………………….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354"/>
        </w:tabs>
        <w:spacing w:line="276" w:lineRule="auto"/>
        <w:ind w:left="-6" w:hanging="11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Przystępując do postępowania o udzielenie zamówienia publicznego prowadzonego w trybie podstawowym bez negocjacji na podstawie art. 275 pkt 1) ustawy z dnia 11 września 2019 r. -  Prawo zamówień publicznych (dalej: Pzp) przez Międzynarodowego Instytutu Mechanizmów i Maszyn Molekularnych Polskiej Akademii Nauk pn.</w:t>
      </w:r>
      <w:r w:rsidDel="00000000" w:rsidR="00000000" w:rsidRPr="00000000">
        <w:rPr>
          <w:b w:val="1"/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b w:val="1"/>
          <w:i w:val="1"/>
          <w:color w:val="000000"/>
          <w:sz w:val="22"/>
          <w:szCs w:val="22"/>
          <w:rtl w:val="0"/>
        </w:rPr>
        <w:t xml:space="preserve">Sprzedaż i dostarczenie komory izolacyjnej</w:t>
      </w:r>
      <w:r w:rsidDel="00000000" w:rsidR="00000000" w:rsidRPr="00000000">
        <w:rPr>
          <w:b w:val="1"/>
          <w:sz w:val="22"/>
          <w:szCs w:val="22"/>
          <w:rtl w:val="0"/>
        </w:rPr>
        <w:t xml:space="preserve">,</w:t>
      </w:r>
      <w:r w:rsidDel="00000000" w:rsidR="00000000" w:rsidRPr="00000000">
        <w:rPr>
          <w:sz w:val="22"/>
          <w:szCs w:val="22"/>
          <w:rtl w:val="0"/>
        </w:rPr>
        <w:t xml:space="preserve"> po zapoznaniu się z opisem przedmiotu zamówienia: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36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OFERUJEMY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wykonanie przedmiotu zamówienia w pełnym zakresie rzeczowym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na następujących warunkach: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Calibri" w:cs="Calibri" w:eastAsia="Calibri" w:hAnsi="Calibri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Łączną cenę ofertową brutto:………………………………………….. złotych (słownie…………………………………………………………………….)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VAT……………………………………….złotych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Cenę netto: ………………………………………….. złotych (słownie:……………………………………………………………….)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Oferujemy termin dostawy……..tygodni od zawarcia umowy*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Oferujemy okres gwarancji…………….miesięcy**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Oferujemy następujący model urządzenia: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left="851" w:firstLine="0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* Oświadczenie o terminie dostawy musi zostać złożone przez Wykonawcę w formularzu ofertowym dla każdego z elementów zamówienia poprzez podanie terminu dostawy od dnia zawarcia umowy w pełnych tygodniach.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51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gdy Wykonawca w formularzu ofertowym nie wskaże terminu dostawy, wskaże 16 tygodni lub dłuższy lub wskaże go niejednoznacznie, Zamawiający uzna, że termin dostawy wynosi 16 tygodni, a oferta otrzyma 0 pkt. w tym kryterium oceny ofert.</w:t>
      </w:r>
    </w:p>
    <w:p w:rsidR="00000000" w:rsidDel="00000000" w:rsidP="00000000" w:rsidRDefault="00000000" w:rsidRPr="00000000" w14:paraId="00000024">
      <w:pPr>
        <w:spacing w:line="276" w:lineRule="auto"/>
        <w:ind w:left="851" w:firstLine="0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ind w:left="851" w:firstLine="0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** Oświadczenie o oferowanym okresie gwarancji musi zostać złożone przez Wykonawcę                 w formularzu ofertowym dla każdego z elementów zamówienia poprzez podanie okresu gwarancji w pełnych miesiącach.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ind w:left="851" w:firstLine="0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Minimalny okres gwarancji wymagany przez Zamawiającego to 12 miesięcy. Maksymalny okres gwarancji, jaki może zaoferować Wykonawca to 24 miesiące.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ind w:left="792" w:firstLine="0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W przypadku, gdy Wykonawca nie wskaże w ofercie wydłużonego okresu gwarancji lub wskaże go niejednoznacznie, Zamawiający przyjmie, że oferowany okres gwarancji to 12 miesięcy, a oferta otrzyma 0 punktów w tym kryterium oceny ofert.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ind w:left="792" w:firstLine="0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W przypadku, gdy Wykonawca zaoferuje okres gwarancji dłuższy, niż 24 miesiące, Zamawiający przyjmie, że zaoferowany okres gwarancji to 24 miesiące i przyzna ofercie 20 punktów w tym kryterium oceny ofert.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720" w:firstLine="10.999999999999943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ind w:left="851" w:firstLine="0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OŚWIADCZAMY,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że oferowany przez nas przedmiot zamówienia odpowiada specyfikacji                  i minimalnym wymaganiom określonym w opisie przedmiotu zamówienia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Podstawa faktyczna i prawna zastosowania zwolnienia z VAT lub stosowania zmniejszonej stawki podatku VAT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(Wykonawca wskazuje powód faktyczny oraz podstawę prawną):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09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30">
      <w:pPr>
        <w:spacing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jc w:val="both"/>
        <w:rPr>
          <w:rFonts w:ascii="Calibri" w:cs="Calibri" w:eastAsia="Calibri" w:hAnsi="Calibri"/>
          <w:b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0"/>
        </w:tabs>
        <w:spacing w:after="240" w:line="276" w:lineRule="auto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PONADTO OŚWIADCZAMY,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360" w:lineRule="auto"/>
        <w:ind w:left="709" w:hanging="425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Zapoznaliśmy się z treścią Specyfikacji Warunków Zamówienia wraz z załącznikami i nie wnosimy do nich zastrzeżeń.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Oświadczam(y), że w cenie brutto oferty zostały uwzględnione wszystkie koszty wykonania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Uważamy się za związanych niniejszą ofertą do dnia </w:t>
      </w:r>
      <w:r w:rsidDel="00000000" w:rsidR="00000000" w:rsidRPr="00000000">
        <w:rPr>
          <w:sz w:val="22"/>
          <w:szCs w:val="22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listopada 2023 r.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Akceptujemy dołączone do SWZ „Projektowane postanowienia umowy w sprawie zamówienia publicznego”</w:t>
      </w:r>
      <w:r w:rsidDel="00000000" w:rsidR="00000000" w:rsidRPr="00000000">
        <w:rPr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i zobowiązujemy się w przypadku wyboru naszej oferty do zawarcia umowy na warunkach tam określonych, a także w miejscu i terminie wyznaczonym przez Zamawiającego.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360" w:lineRule="auto"/>
        <w:ind w:left="709" w:hanging="426"/>
        <w:jc w:val="both"/>
        <w:rPr>
          <w:rFonts w:ascii="Calibri" w:cs="Calibri" w:eastAsia="Calibri" w:hAnsi="Calibri"/>
          <w:color w:val="00000a"/>
          <w:sz w:val="22"/>
          <w:szCs w:val="22"/>
        </w:rPr>
      </w:pPr>
      <w:r w:rsidDel="00000000" w:rsidR="00000000" w:rsidRPr="00000000">
        <w:rPr>
          <w:color w:val="00000a"/>
          <w:sz w:val="22"/>
          <w:szCs w:val="22"/>
          <w:rtl w:val="0"/>
        </w:rPr>
        <w:t xml:space="preserve">Zobowiązujemy się do złożenia przed zawarciem umowy dokumentów niezbędnych do jej zawarcia.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Akceptujemy</w:t>
      </w:r>
      <w:r w:rsidDel="00000000" w:rsidR="00000000" w:rsidRPr="00000000">
        <w:rPr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warunki płatności określone przez Zamawiającego w treści Projektowanych postanowień umowy w sprawie zamówienia publicznego</w:t>
      </w:r>
      <w:r w:rsidDel="00000000" w:rsidR="00000000" w:rsidRPr="00000000">
        <w:rPr>
          <w:b w:val="1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360" w:lineRule="auto"/>
        <w:ind w:left="709" w:hanging="425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Oświadczam(y), że podany numer rachunku bankowego wskazany do płatności jest rachunkiem rozliczeniowym uwidoczniony na tzw. białej liście: …………………………………………………..……………………………………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360" w:lineRule="auto"/>
        <w:ind w:left="709" w:hanging="425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Stosownie do treści art. 225 Pzp oświadczam/y, że wybór przedmiotowej oferty: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360" w:lineRule="auto"/>
        <w:ind w:left="993" w:hanging="283.9999999999999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nie będzie prowadzić do powstania u Zamawiającego obowiązku podatkowego, zgodnie z przepisami o podatku od towarowi usług (*)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360" w:lineRule="auto"/>
        <w:ind w:left="993" w:hanging="283.9999999999999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będzie prowadzić do powstania u Zamawiającego obowiązek podatkowy, zgodnie z przepisami o podatku od towarów i usług, w poniżej wskazanym zakresie(rodzaju) i wartości(*):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ind w:left="1134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nazwa towaru/usługi: ……………………… - wartość (bez VAT) …………………… złotych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360" w:lineRule="auto"/>
        <w:ind w:left="1134" w:firstLine="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nazwa towaru/usługi: ……………………… - wartość (bez VAT) …………………… złotych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284"/>
        </w:tabs>
        <w:spacing w:line="360" w:lineRule="auto"/>
        <w:ind w:left="284" w:firstLine="0"/>
        <w:jc w:val="both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* </w:t>
      </w:r>
      <w:r w:rsidDel="00000000" w:rsidR="00000000" w:rsidRPr="00000000">
        <w:rPr>
          <w:b w:val="1"/>
          <w:sz w:val="22"/>
          <w:szCs w:val="22"/>
          <w:rtl w:val="0"/>
        </w:rPr>
        <w:t xml:space="preserve">Niepotrzebne skreślić</w:t>
      </w:r>
      <w:r w:rsidDel="00000000" w:rsidR="00000000" w:rsidRPr="00000000">
        <w:rPr>
          <w:sz w:val="22"/>
          <w:szCs w:val="22"/>
          <w:rtl w:val="0"/>
        </w:rPr>
        <w:t xml:space="preserve">. Jeżeli zachodzi przypadek o którym mowa w pkt 8 lit. b) należy wskazać: nazwę (rodzaj) i wartość towaru/usług, których dostawa/świadczenie będzie prowadzić do powstania u Zamawiającego obowiązku podatkowego w zakresie VAT, tj. zgodnie z obowiązującymi przepisami to Zamawiający będzie płatnikiem podatku od towarów i usług (VAT) oraz będzie zobowiązany do przekazania go na rachunek właściwego urzędu skarbowego, a nie Wykonawca. Jeżeli wybór takiej oferty, będzie prowadził do powstania u Zamawiającego obowiązku podatkowego, Zamawiający doliczy do przedstawionej ceny oferty podatek od towarów i usług, który będzie miał obowiązek rozliczyć zgodnie z obowiązującymi przepisami..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Oświadczamy, że oferta: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spacing w:line="360" w:lineRule="auto"/>
        <w:ind w:left="1069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b w:val="1"/>
          <w:i w:val="1"/>
          <w:sz w:val="22"/>
          <w:szCs w:val="22"/>
          <w:rtl w:val="0"/>
        </w:rPr>
        <w:t xml:space="preserve">nie zawiera informacji</w:t>
      </w:r>
      <w:r w:rsidDel="00000000" w:rsidR="00000000" w:rsidRPr="00000000">
        <w:rPr>
          <w:sz w:val="22"/>
          <w:szCs w:val="22"/>
          <w:rtl w:val="0"/>
        </w:rPr>
        <w:t xml:space="preserve"> stanowiących tajemnicę przedsiębiorstwa w rozumieniu przepisów </w:t>
        <w:br w:type="textWrapping"/>
        <w:t xml:space="preserve">o zwalczaniu nieuczciwej konkurencji*;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line="360" w:lineRule="auto"/>
        <w:ind w:left="1069" w:hanging="36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b w:val="1"/>
          <w:i w:val="1"/>
          <w:sz w:val="22"/>
          <w:szCs w:val="22"/>
          <w:rtl w:val="0"/>
        </w:rPr>
        <w:t xml:space="preserve">zawiera informacje</w:t>
      </w:r>
      <w:r w:rsidDel="00000000" w:rsidR="00000000" w:rsidRPr="00000000">
        <w:rPr>
          <w:sz w:val="22"/>
          <w:szCs w:val="22"/>
          <w:rtl w:val="0"/>
        </w:rPr>
        <w:t xml:space="preserve"> stanowiące tajemnicę przedsiębiorstwa w rozumieniu przepisów o zwalczaniu nieuczciwej konkurencji. Informacje takie zawarte są w następujących dokumentach*: ..………………………………..…………………..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360" w:lineRule="auto"/>
        <w:rPr>
          <w:rFonts w:ascii="Calibri" w:cs="Calibri" w:eastAsia="Calibri" w:hAnsi="Calibri"/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* Zamawiający nie ujawnia informacji stanowiących tajemnicę przedsiębiorstwa w rozumieniu przepisów ustawy z 16 kwietnia 1993 o zwalczaniu nieuczciwej konkurencji (Dz. U. z 2020 r. poz. 1913, dalej: „tajemnica przedsiębiorstwa”), jeżeli Wykonawca, wraz z przekazaniem takich informacji, zastrzegł, że nie mogą być one udostępniane oraz wykazał, że zastrzeżone informacje stanowią tajemnicę przedsiębiorstwa. Wykonawca nie może zastrzec informacji, o których mowa w art. 222 ust. 5 ustawy. Jeśli oferta zawiera informacje stanowiące tajemnicę przedsiębiorstwa Wykonawca powinien nie później niż w terminie składania ofert, zastrzec, że nie mogą one być udostępnione oraz wykazać, iż zastrzeżone informacje stanowią tajemnicę przedsiębiorstwa.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Dane kontaktowe Wykonawcy: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360" w:lineRule="auto"/>
        <w:ind w:left="42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adres e-mail:……………………………………………………………………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360" w:lineRule="auto"/>
        <w:ind w:left="42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telefon: 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360" w:lineRule="auto"/>
        <w:ind w:left="426" w:firstLine="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Czy Wykonawca jest mikroprzedsiębiorstwem bądź małym lub średnim przedsiębiorstwem?</w:t>
      </w:r>
    </w:p>
    <w:p w:rsidR="00000000" w:rsidDel="00000000" w:rsidP="00000000" w:rsidRDefault="00000000" w:rsidRPr="00000000" w14:paraId="0000004A">
      <w:pPr>
        <w:spacing w:line="360" w:lineRule="auto"/>
        <w:ind w:left="426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Proszę zaznaczyć odpowiednio:</w:t>
      </w:r>
      <w:r w:rsidDel="00000000" w:rsidR="00000000" w:rsidRPr="00000000">
        <w:rPr>
          <w:rtl w:val="0"/>
        </w:rPr>
      </w:r>
    </w:p>
    <w:tbl>
      <w:tblPr>
        <w:tblStyle w:val="Table1"/>
        <w:tblW w:w="7676.0" w:type="dxa"/>
        <w:jc w:val="left"/>
        <w:tblInd w:w="139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1"/>
        <w:gridCol w:w="7125"/>
        <w:tblGridChange w:id="0">
          <w:tblGrid>
            <w:gridCol w:w="551"/>
            <w:gridCol w:w="7125"/>
          </w:tblGrid>
        </w:tblGridChange>
      </w:tblGrid>
      <w:tr>
        <w:trPr>
          <w:cantSplit w:val="0"/>
          <w:trHeight w:val="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mikroprzedsiębiorstwem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małym przedsiębiorstwem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średnim przedsiębiorstwem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2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osobą fizyczną prowadzącą działalność gospodarczą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spacing w:line="36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inny rodzaj: …………………………………………..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spacing w:line="360" w:lineRule="auto"/>
        <w:ind w:left="426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tabs>
          <w:tab w:val="left" w:leader="none" w:pos="426"/>
        </w:tabs>
        <w:spacing w:line="360" w:lineRule="auto"/>
        <w:ind w:left="426" w:hanging="426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Oświadczam/y</w:t>
      </w:r>
      <w:r w:rsidDel="00000000" w:rsidR="00000000" w:rsidRPr="00000000">
        <w:rPr>
          <w:sz w:val="22"/>
          <w:szCs w:val="22"/>
          <w:rtl w:val="0"/>
        </w:rPr>
        <w:t xml:space="preserve">, że wypełniłem obowiązki informacyjne przewidziane w art. 13 lub art. 14 RODO</w:t>
      </w:r>
      <w:r w:rsidDel="00000000" w:rsidR="00000000" w:rsidRPr="00000000">
        <w:rPr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sz w:val="22"/>
          <w:szCs w:val="22"/>
          <w:rtl w:val="0"/>
        </w:rPr>
        <w:t xml:space="preserve">,  wobec osób fizycznych, od których dane  osobowe bezpośrednio lub pośrednio pozyskałem w celu ubiegania się o udzielenie zamówienia publicznego w niniejszym postępowaniu.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669" w:top="2102" w:left="1417" w:right="1417" w:header="142" w:footer="7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Orkne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spacing w:line="199" w:lineRule="auto"/>
      <w:jc w:val="both"/>
      <w:rPr>
        <w:rFonts w:ascii="Orkney" w:cs="Orkney" w:eastAsia="Orkney" w:hAnsi="Orkney"/>
        <w:color w:val="7f7f7f"/>
        <w:sz w:val="18"/>
        <w:szCs w:val="18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-881379</wp:posOffset>
          </wp:positionH>
          <wp:positionV relativeFrom="paragraph">
            <wp:posOffset>49530</wp:posOffset>
          </wp:positionV>
          <wp:extent cx="5760720" cy="168910"/>
          <wp:effectExtent b="0" l="0" r="0" t="0"/>
          <wp:wrapSquare wrapText="bothSides" distB="0" distT="0" distL="114300" distR="114300"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899795</wp:posOffset>
          </wp:positionH>
          <wp:positionV relativeFrom="paragraph">
            <wp:posOffset>50165</wp:posOffset>
          </wp:positionV>
          <wp:extent cx="5760720" cy="168910"/>
          <wp:effectExtent b="0" l="0" r="0" t="0"/>
          <wp:wrapSquare wrapText="bothSides" distB="0" distT="0" distL="114300" distR="114300"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0">
    <w:pPr>
      <w:spacing w:line="199" w:lineRule="auto"/>
      <w:jc w:val="both"/>
      <w:rPr>
        <w:rFonts w:ascii="Orkney" w:cs="Orkney" w:eastAsia="Orkney" w:hAnsi="Orkney"/>
        <w:color w:val="7f7f7f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spacing w:line="199" w:lineRule="auto"/>
      <w:jc w:val="center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spacing w:line="199" w:lineRule="auto"/>
      <w:jc w:val="center"/>
      <w:rPr>
        <w:rFonts w:ascii="Times New Roman" w:cs="Times New Roman" w:eastAsia="Times New Roman" w:hAnsi="Times New Roman"/>
        <w:i w:val="1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i w:val="1"/>
        <w:color w:val="000000"/>
        <w:sz w:val="18"/>
        <w:szCs w:val="18"/>
        <w:rtl w:val="0"/>
      </w:rPr>
      <w:t xml:space="preserve">Postępowanie nr IMOL/ZP/11/2023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0000" w:rsidDel="00000000" w:rsidP="00000000" w:rsidRDefault="00000000" w:rsidRPr="00000000" w14:paraId="00000059">
      <w:pPr>
        <w:spacing w:line="276" w:lineRule="auto"/>
        <w:ind w:left="142" w:hanging="142"/>
        <w:jc w:val="both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6"/>
          <w:szCs w:val="16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16"/>
          <w:szCs w:val="16"/>
          <w:rtl w:val="0"/>
        </w:rPr>
        <w:t xml:space="preserve"> W przypadku gdy wykonawca </w:t>
      </w: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000000" w:rsidDel="00000000" w:rsidP="00000000" w:rsidRDefault="00000000" w:rsidRPr="00000000" w14:paraId="0000005A">
      <w:pPr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</w:t>
    </w:r>
    <w:r w:rsidDel="00000000" w:rsidR="00000000" w:rsidRPr="00000000">
      <mc:AlternateContent>
        <mc:Choice Requires="wpg">
          <w:drawing>
            <wp:anchor allowOverlap="1" behindDoc="0" distB="7620" distT="0" distL="114300" distR="114300" hidden="0" layoutInCell="1" locked="0" relativeHeight="0" simplePos="0">
              <wp:simplePos x="0" y="0"/>
              <wp:positionH relativeFrom="column">
                <wp:posOffset>901700</wp:posOffset>
              </wp:positionH>
              <wp:positionV relativeFrom="paragraph">
                <wp:posOffset>63500</wp:posOffset>
              </wp:positionV>
              <wp:extent cx="3966210" cy="887730"/>
              <wp:effectExtent b="0" l="0" r="0" t="0"/>
              <wp:wrapSquare wrapText="bothSides" distB="7620" distT="0" distL="114300" distR="114300"/>
              <wp:docPr id="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3362925" y="3336100"/>
                        <a:ext cx="3966210" cy="887730"/>
                        <a:chOff x="3362925" y="3336100"/>
                        <a:chExt cx="3966150" cy="887800"/>
                      </a:xfrm>
                    </wpg:grpSpPr>
                    <wpg:grpSp>
                      <wpg:cNvGrpSpPr/>
                      <wpg:grpSpPr>
                        <a:xfrm>
                          <a:off x="3362940" y="3336120"/>
                          <a:ext cx="3966120" cy="887760"/>
                          <a:chOff x="0" y="0"/>
                          <a:chExt cx="3966120" cy="88776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3966100" cy="88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descr="https://www.fnp.org.pl/assets/FNP-UE-PL_cmyk-1.jpg" id="4" name="Shape 4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0" y="0"/>
                            <a:ext cx="3966120" cy="5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descr="C:\Users\Michał Wrzesiński\Dropbox\IMOL\IMol System\ReMeDy logo.png" id="5" name="Shape 5"/>
                          <pic:cNvPicPr preferRelativeResize="0"/>
                        </pic:nvPicPr>
                        <pic:blipFill rotWithShape="1">
                          <a:blip r:embed="rId2">
                            <a:alphaModFix/>
                          </a:blip>
                          <a:srcRect b="39168" l="0" r="0" t="37536"/>
                          <a:stretch/>
                        </pic:blipFill>
                        <pic:spPr>
                          <a:xfrm>
                            <a:off x="542880" y="580320"/>
                            <a:ext cx="1321920" cy="30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>
                        <pic:nvPicPr>
                          <pic:cNvPr descr="C:\Users\Michał Wrzesiński\Dropbox\IMOL\IMol System\logo_akcept_do_powielania.gif" id="6" name="Shape 6"/>
                          <pic:cNvPicPr preferRelativeResize="0"/>
                        </pic:nvPicPr>
                        <pic:blipFill rotWithShape="1">
                          <a:blip r:embed="rId3">
                            <a:alphaModFix/>
                          </a:blip>
                          <a:srcRect b="0" l="0" r="0" t="0"/>
                          <a:stretch/>
                        </pic:blipFill>
                        <pic:spPr>
                          <a:xfrm>
                            <a:off x="2198520" y="580320"/>
                            <a:ext cx="768240" cy="30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7620" distT="0" distL="114300" distR="114300" hidden="0" layoutInCell="1" locked="0" relativeHeight="0" simplePos="0">
              <wp:simplePos x="0" y="0"/>
              <wp:positionH relativeFrom="column">
                <wp:posOffset>901700</wp:posOffset>
              </wp:positionH>
              <wp:positionV relativeFrom="paragraph">
                <wp:posOffset>63500</wp:posOffset>
              </wp:positionV>
              <wp:extent cx="3966210" cy="887730"/>
              <wp:effectExtent b="0" l="0" r="0" t="0"/>
              <wp:wrapSquare wrapText="bothSides" distB="7620" distT="0" distL="114300" distR="114300"/>
              <wp:docPr id="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4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66210" cy="8877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5C">
    <w:pPr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ff"/>
        <w:rtl w:val="0"/>
      </w:rPr>
      <w:t xml:space="preserve">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tabs>
        <w:tab w:val="center" w:leader="none" w:pos="4536"/>
        <w:tab w:val="right" w:leader="none" w:pos="9072"/>
      </w:tabs>
      <w:rPr>
        <w:rFonts w:ascii="Orkney" w:cs="Orkney" w:eastAsia="Orkney" w:hAnsi="Orkney"/>
        <w:color w:val="7f7f7f"/>
        <w:sz w:val="13"/>
        <w:szCs w:val="13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4852670</wp:posOffset>
          </wp:positionH>
          <wp:positionV relativeFrom="paragraph">
            <wp:posOffset>53339</wp:posOffset>
          </wp:positionV>
          <wp:extent cx="1660680" cy="159480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5"/>
                  <a:srcRect b="0" l="76323" r="-5133" t="0"/>
                  <a:stretch>
                    <a:fillRect/>
                  </a:stretch>
                </pic:blipFill>
                <pic:spPr>
                  <a:xfrm rot="5400000">
                    <a:off x="0" y="0"/>
                    <a:ext cx="1660680" cy="15948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right"/>
      <w:pPr>
        <w:ind w:left="1004" w:hanging="360"/>
      </w:pPr>
      <w:rPr/>
    </w:lvl>
    <w:lvl w:ilvl="1">
      <w:start w:val="1"/>
      <w:numFmt w:val="lowerLetter"/>
      <w:lvlText w:val="%2."/>
      <w:lvlJc w:val="left"/>
      <w:pPr>
        <w:ind w:left="1724" w:hanging="360"/>
      </w:pPr>
      <w:rPr/>
    </w:lvl>
    <w:lvl w:ilvl="2">
      <w:start w:val="1"/>
      <w:numFmt w:val="lowerRoman"/>
      <w:lvlText w:val="%3."/>
      <w:lvlJc w:val="right"/>
      <w:pPr>
        <w:ind w:left="2444" w:hanging="180"/>
      </w:pPr>
      <w:rPr/>
    </w:lvl>
    <w:lvl w:ilvl="3">
      <w:start w:val="1"/>
      <w:numFmt w:val="decimal"/>
      <w:lvlText w:val="%4."/>
      <w:lvlJc w:val="left"/>
      <w:pPr>
        <w:ind w:left="3164" w:hanging="360"/>
      </w:pPr>
      <w:rPr/>
    </w:lvl>
    <w:lvl w:ilvl="4">
      <w:start w:val="1"/>
      <w:numFmt w:val="lowerLetter"/>
      <w:lvlText w:val="%5."/>
      <w:lvlJc w:val="left"/>
      <w:pPr>
        <w:ind w:left="3884" w:hanging="360"/>
      </w:pPr>
      <w:rPr/>
    </w:lvl>
    <w:lvl w:ilvl="5">
      <w:start w:val="1"/>
      <w:numFmt w:val="lowerRoman"/>
      <w:lvlText w:val="%6."/>
      <w:lvlJc w:val="right"/>
      <w:pPr>
        <w:ind w:left="4604" w:hanging="180"/>
      </w:pPr>
      <w:rPr/>
    </w:lvl>
    <w:lvl w:ilvl="6">
      <w:start w:val="1"/>
      <w:numFmt w:val="decimal"/>
      <w:lvlText w:val="%7."/>
      <w:lvlJc w:val="left"/>
      <w:pPr>
        <w:ind w:left="5324" w:hanging="360"/>
      </w:pPr>
      <w:rPr/>
    </w:lvl>
    <w:lvl w:ilvl="7">
      <w:start w:val="1"/>
      <w:numFmt w:val="lowerLetter"/>
      <w:lvlText w:val="%8."/>
      <w:lvlJc w:val="left"/>
      <w:pPr>
        <w:ind w:left="6044" w:hanging="360"/>
      </w:pPr>
      <w:rPr/>
    </w:lvl>
    <w:lvl w:ilvl="8">
      <w:start w:val="1"/>
      <w:numFmt w:val="lowerRoman"/>
      <w:lvlText w:val="%9."/>
      <w:lvlJc w:val="right"/>
      <w:pPr>
        <w:ind w:left="6764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lowerLetter"/>
      <w:lvlText w:val="%1)"/>
      <w:lvlJc w:val="left"/>
      <w:pPr>
        <w:ind w:left="1069" w:hanging="360"/>
      </w:pPr>
      <w:rPr/>
    </w:lvl>
    <w:lvl w:ilvl="1">
      <w:start w:val="1"/>
      <w:numFmt w:val="lowerLetter"/>
      <w:lvlText w:val="%2."/>
      <w:lvlJc w:val="left"/>
      <w:pPr>
        <w:ind w:left="1789" w:hanging="360"/>
      </w:pPr>
      <w:rPr/>
    </w:lvl>
    <w:lvl w:ilvl="2">
      <w:start w:val="1"/>
      <w:numFmt w:val="lowerRoman"/>
      <w:lvlText w:val="%3."/>
      <w:lvlJc w:val="right"/>
      <w:pPr>
        <w:ind w:left="2509" w:hanging="180"/>
      </w:pPr>
      <w:rPr/>
    </w:lvl>
    <w:lvl w:ilvl="3">
      <w:start w:val="1"/>
      <w:numFmt w:val="decimal"/>
      <w:lvlText w:val="%4."/>
      <w:lvlJc w:val="left"/>
      <w:pPr>
        <w:ind w:left="3229" w:hanging="360"/>
      </w:pPr>
      <w:rPr/>
    </w:lvl>
    <w:lvl w:ilvl="4">
      <w:start w:val="1"/>
      <w:numFmt w:val="lowerLetter"/>
      <w:lvlText w:val="%5."/>
      <w:lvlJc w:val="left"/>
      <w:pPr>
        <w:ind w:left="3949" w:hanging="360"/>
      </w:pPr>
      <w:rPr/>
    </w:lvl>
    <w:lvl w:ilvl="5">
      <w:start w:val="1"/>
      <w:numFmt w:val="lowerRoman"/>
      <w:lvlText w:val="%6."/>
      <w:lvlJc w:val="right"/>
      <w:pPr>
        <w:ind w:left="4669" w:hanging="180"/>
      </w:pPr>
      <w:rPr/>
    </w:lvl>
    <w:lvl w:ilvl="6">
      <w:start w:val="1"/>
      <w:numFmt w:val="decimal"/>
      <w:lvlText w:val="%7."/>
      <w:lvlJc w:val="left"/>
      <w:pPr>
        <w:ind w:left="5389" w:hanging="360"/>
      </w:pPr>
      <w:rPr/>
    </w:lvl>
    <w:lvl w:ilvl="7">
      <w:start w:val="1"/>
      <w:numFmt w:val="lowerLetter"/>
      <w:lvlText w:val="%8."/>
      <w:lvlJc w:val="left"/>
      <w:pPr>
        <w:ind w:left="6109" w:hanging="360"/>
      </w:pPr>
      <w:rPr/>
    </w:lvl>
    <w:lvl w:ilvl="8">
      <w:start w:val="1"/>
      <w:numFmt w:val="lowerRoman"/>
      <w:lvlText w:val="%9."/>
      <w:lvlJc w:val="right"/>
      <w:pPr>
        <w:ind w:left="6829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Pr>
      <w:lang w:eastAsia="en-US"/>
    </w:rPr>
  </w:style>
  <w:style w:type="paragraph" w:styleId="Nagwek1">
    <w:name w:val="heading 1"/>
    <w:basedOn w:val="Normalny"/>
    <w:next w:val="Normalny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next w:val="Normalny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Nagwek5">
    <w:name w:val="heading 5"/>
    <w:basedOn w:val="Normalny"/>
    <w:next w:val="Normalny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Nagwek6">
    <w:name w:val="heading 6"/>
    <w:basedOn w:val="Normalny"/>
    <w:next w:val="Normalny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Znak" w:customStyle="1">
    <w:name w:val="Nagłówek Znak"/>
    <w:basedOn w:val="Domylnaczcionkaakapitu"/>
    <w:link w:val="Nagwek"/>
    <w:uiPriority w:val="99"/>
    <w:qFormat w:val="1"/>
    <w:rsid w:val="003B0B8D"/>
  </w:style>
  <w:style w:type="character" w:styleId="StopkaZnak" w:customStyle="1">
    <w:name w:val="Stopka Znak"/>
    <w:basedOn w:val="Domylnaczcionkaakapitu"/>
    <w:link w:val="Stopka"/>
    <w:uiPriority w:val="99"/>
    <w:qFormat w:val="1"/>
    <w:rsid w:val="003B0B8D"/>
  </w:style>
  <w:style w:type="character" w:styleId="TekstdymkaZnak" w:customStyle="1">
    <w:name w:val="Tekst dymka Znak"/>
    <w:basedOn w:val="Domylnaczcionkaakapitu"/>
    <w:link w:val="Tekstdymka"/>
    <w:uiPriority w:val="99"/>
    <w:semiHidden w:val="1"/>
    <w:qFormat w:val="1"/>
    <w:rsid w:val="00365CA4"/>
    <w:rPr>
      <w:rFonts w:ascii="Tahoma" w:cs="Tahoma" w:hAnsi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 w:val="1"/>
    <w:rsid w:val="00DD1C3B"/>
    <w:rPr>
      <w:color w:val="0563c1" w:themeColor="hyperlink"/>
      <w:u w:val="single"/>
    </w:rPr>
  </w:style>
  <w:style w:type="character" w:styleId="AkapitzlistZnak" w:customStyle="1">
    <w:name w:val="Akapit z listą Znak"/>
    <w:link w:val="Akapitzlist"/>
    <w:uiPriority w:val="34"/>
    <w:qFormat w:val="1"/>
    <w:locked w:val="1"/>
    <w:rsid w:val="00DD1C3B"/>
    <w:rPr>
      <w:rFonts w:ascii="Liberation Serif" w:cs="Mangal" w:eastAsia="Droid Sans Fallback" w:hAnsi="Liberation Serif"/>
      <w:color w:val="00000a"/>
      <w:szCs w:val="21"/>
      <w:lang w:bidi="hi-IN" w:eastAsia="zh-CN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qFormat w:val="1"/>
    <w:rsid w:val="00DD1C3B"/>
    <w:rPr>
      <w:sz w:val="16"/>
      <w:szCs w:val="16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qFormat w:val="1"/>
    <w:rsid w:val="00DD1C3B"/>
    <w:rPr>
      <w:rFonts w:ascii="Times New Roman" w:cs="Times New Roman" w:eastAsia="Times New Roman" w:hAnsi="Times New Roman"/>
      <w:color w:val="000000"/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qFormat w:val="1"/>
    <w:rsid w:val="00DD1C3B"/>
    <w:rPr>
      <w:rFonts w:ascii="Times New Roman" w:cs="Times New Roman" w:eastAsia="Times New Roman" w:hAnsi="Times New Roman"/>
      <w:b w:val="1"/>
      <w:bCs w:val="1"/>
      <w:color w:val="000000"/>
      <w:sz w:val="20"/>
      <w:szCs w:val="20"/>
      <w:lang w:eastAsia="en-US"/>
    </w:rPr>
  </w:style>
  <w:style w:type="character" w:styleId="Znakiprzypiswdolnych" w:customStyle="1">
    <w:name w:val="Znaki przypisów dolnych"/>
    <w:qFormat w:val="1"/>
    <w:rsid w:val="00ED25A0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Znakiprzypiswkocowych" w:customStyle="1">
    <w:name w:val="Znaki przypisów końcowych"/>
    <w:qFormat w:val="1"/>
  </w:style>
  <w:style w:type="paragraph" w:styleId="Nagwek">
    <w:name w:val="header"/>
    <w:basedOn w:val="Normalny"/>
    <w:next w:val="Tekstpodstawowy"/>
    <w:link w:val="NagwekZnak"/>
    <w:uiPriority w:val="99"/>
    <w:unhideWhenUsed w:val="1"/>
    <w:rsid w:val="003B0B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Indeks" w:customStyle="1">
    <w:name w:val="Indeks"/>
    <w:basedOn w:val="Normalny"/>
    <w:qFormat w:val="1"/>
    <w:pPr>
      <w:suppressLineNumbers w:val="1"/>
    </w:pPr>
    <w:rPr>
      <w:rFonts w:cs="Lucida Sans"/>
    </w:rPr>
  </w:style>
  <w:style w:type="paragraph" w:styleId="Tytu">
    <w:name w:val="Title"/>
    <w:basedOn w:val="Normalny"/>
    <w:next w:val="Normalny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Gwkaistopka" w:customStyle="1">
    <w:name w:val="Główka i stopka"/>
    <w:basedOn w:val="Normalny"/>
    <w:qFormat w:val="1"/>
  </w:style>
  <w:style w:type="paragraph" w:styleId="Stopka">
    <w:name w:val="footer"/>
    <w:basedOn w:val="Normalny"/>
    <w:link w:val="StopkaZnak"/>
    <w:uiPriority w:val="99"/>
    <w:unhideWhenUsed w:val="1"/>
    <w:rsid w:val="003B0B8D"/>
    <w:pPr>
      <w:tabs>
        <w:tab w:val="center" w:pos="4536"/>
        <w:tab w:val="right" w:pos="9072"/>
      </w:tabs>
    </w:pPr>
  </w:style>
  <w:style w:type="paragraph" w:styleId="LO-normal" w:customStyle="1">
    <w:name w:val="LO-normal"/>
    <w:qFormat w:val="1"/>
    <w:rsid w:val="00A479DC"/>
    <w:pPr>
      <w:spacing w:line="276" w:lineRule="auto"/>
      <w:contextualSpacing w:val="1"/>
    </w:pPr>
    <w:rPr>
      <w:rFonts w:ascii="Arial" w:cs="Arial" w:eastAsia="Arial" w:hAnsi="Arial"/>
      <w:sz w:val="22"/>
      <w:szCs w:val="22"/>
      <w:lang w:bidi="hi-IN" w:eastAsia="zh-CN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qFormat w:val="1"/>
    <w:rsid w:val="00365CA4"/>
    <w:rPr>
      <w:rFonts w:ascii="Tahoma" w:cs="Tahoma" w:hAnsi="Tahoma"/>
      <w:sz w:val="16"/>
      <w:szCs w:val="16"/>
    </w:rPr>
  </w:style>
  <w:style w:type="paragraph" w:styleId="Tekstwstpniesformatowany" w:customStyle="1">
    <w:name w:val="Tekst wstępnie sformatowany"/>
    <w:basedOn w:val="Normalny"/>
    <w:qFormat w:val="1"/>
    <w:rsid w:val="00365CA4"/>
    <w:pPr>
      <w:spacing w:line="264" w:lineRule="auto"/>
      <w:jc w:val="both"/>
      <w:textAlignment w:val="baseline"/>
    </w:pPr>
    <w:rPr>
      <w:rFonts w:ascii="Cumberland AMT" w:cs="Cumberland AMT" w:eastAsia="Cumberland AMT" w:hAnsi="Cumberland AMT"/>
      <w:color w:val="00000a"/>
      <w:sz w:val="20"/>
      <w:szCs w:val="20"/>
      <w:lang w:eastAsia="zh-CN"/>
    </w:rPr>
  </w:style>
  <w:style w:type="paragraph" w:styleId="Akapitzlist">
    <w:name w:val="List Paragraph"/>
    <w:basedOn w:val="Normalny"/>
    <w:link w:val="AkapitzlistZnak"/>
    <w:uiPriority w:val="34"/>
    <w:qFormat w:val="1"/>
    <w:rsid w:val="00365CA4"/>
    <w:pPr>
      <w:widowControl w:val="0"/>
      <w:ind w:left="720"/>
      <w:contextualSpacing w:val="1"/>
      <w:textAlignment w:val="baseline"/>
    </w:pPr>
    <w:rPr>
      <w:rFonts w:ascii="Liberation Serif" w:cs="Mangal" w:eastAsia="Droid Sans Fallback" w:hAnsi="Liberation Serif"/>
      <w:color w:val="00000a"/>
      <w:szCs w:val="21"/>
      <w:lang w:bidi="hi-IN" w:eastAsia="zh-CN"/>
    </w:rPr>
  </w:style>
  <w:style w:type="paragraph" w:styleId="Podtytu">
    <w:name w:val="Subtitle"/>
    <w:basedOn w:val="Normalny"/>
    <w:next w:val="Normalny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listparagraphcxsppierwsze" w:customStyle="1">
    <w:name w:val="listparagraphcxsppierwsze"/>
    <w:basedOn w:val="Normalny"/>
    <w:qFormat w:val="1"/>
    <w:rsid w:val="00DD1C3B"/>
    <w:pPr>
      <w:spacing w:afterAutospacing="1" w:beforeAutospacing="1"/>
    </w:pPr>
    <w:rPr>
      <w:rFonts w:ascii="Times New Roman" w:cs="Times New Roman" w:eastAsia="Times New Roman" w:hAnsi="Times New Roman"/>
      <w:lang w:eastAsia="pl-PL"/>
    </w:rPr>
  </w:style>
  <w:style w:type="paragraph" w:styleId="listparagraphcxspdrugie" w:customStyle="1">
    <w:name w:val="listparagraphcxspdrugie"/>
    <w:basedOn w:val="Normalny"/>
    <w:qFormat w:val="1"/>
    <w:rsid w:val="00DD1C3B"/>
    <w:pPr>
      <w:spacing w:afterAutospacing="1" w:beforeAutospacing="1"/>
    </w:pPr>
    <w:rPr>
      <w:rFonts w:ascii="Times New Roman" w:cs="Times New Roman" w:eastAsia="Times New Roman" w:hAnsi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qFormat w:val="1"/>
    <w:rsid w:val="00DD1C3B"/>
    <w:pPr>
      <w:spacing w:after="5"/>
      <w:ind w:left="517" w:hanging="10"/>
      <w:jc w:val="both"/>
    </w:pPr>
    <w:rPr>
      <w:rFonts w:ascii="Times New Roman" w:cs="Times New Roman" w:eastAsia="Times New Roman" w:hAnsi="Times New Roman"/>
      <w:color w:val="000000"/>
      <w:sz w:val="20"/>
      <w:szCs w:val="20"/>
      <w:lang w:eastAsia="pl-PL"/>
    </w:rPr>
  </w:style>
  <w:style w:type="paragraph" w:styleId="Default" w:customStyle="1">
    <w:name w:val="Default"/>
    <w:qFormat w:val="1"/>
    <w:rsid w:val="00DD1C3B"/>
    <w:rPr>
      <w:rFonts w:eastAsiaTheme="minorEastAsi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qFormat w:val="1"/>
    <w:rsid w:val="00DD1C3B"/>
    <w:pPr>
      <w:spacing w:after="0"/>
      <w:ind w:left="0" w:firstLine="0"/>
      <w:jc w:val="left"/>
    </w:pPr>
    <w:rPr>
      <w:rFonts w:ascii="Calibri" w:cs="Calibri" w:eastAsia="Calibri" w:hAnsi="Calibri"/>
      <w:b w:val="1"/>
      <w:bCs w:val="1"/>
      <w:color w:val="auto"/>
      <w:lang w:eastAsia="en-US"/>
    </w:rPr>
  </w:style>
  <w:style w:type="paragraph" w:styleId="Tekstprzypisudolnego">
    <w:name w:val="footnote text"/>
    <w:basedOn w:val="Normalny"/>
  </w:style>
  <w:style w:type="table" w:styleId="TableGrid" w:customStyle="1">
    <w:name w:val="TableGrid"/>
    <w:rsid w:val="00DD1C3B"/>
    <w:rPr>
      <w:rFonts w:asciiTheme="minorHAnsi" w:cstheme="minorBidi" w:eastAsiaTheme="minorEastAsia" w:hAnsiTheme="minorHAnsi"/>
      <w:sz w:val="22"/>
      <w:szCs w:val="22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ela-Siatka">
    <w:name w:val="Table Grid"/>
    <w:basedOn w:val="Standardowy"/>
    <w:uiPriority w:val="59"/>
    <w:rsid w:val="001D598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5.png"/><Relationship Id="rId3" Type="http://schemas.openxmlformats.org/officeDocument/2006/relationships/image" Target="media/image3.gif"/><Relationship Id="rId4" Type="http://schemas.openxmlformats.org/officeDocument/2006/relationships/image" Target="media/image2.png"/><Relationship Id="rId5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BPftHtCwh7GtMqGSZ8dH513G2w==">CgMxLjAyCWguMzBqMHpsbDgAciExamFUb0QxTzJSX1N3aHEzSmJxckpQRThQeGx2NEZubHg=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2023-07-07T09:04:00Z</dcterms:created>
  <dc:creator>test</dc:creator>
</cp:coreProperties>
</file>